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FC53E8" w14:textId="77777777" w:rsidR="00A83E41" w:rsidRDefault="00A83E41" w:rsidP="00A83E41">
      <w:pPr>
        <w:spacing w:line="460" w:lineRule="exact"/>
        <w:rPr>
          <w:rFonts w:ascii="標楷體" w:eastAsia="標楷體" w:hAnsi="標楷體"/>
          <w:b/>
          <w:sz w:val="40"/>
          <w:szCs w:val="40"/>
        </w:rPr>
      </w:pPr>
      <w:r>
        <w:rPr>
          <w:rFonts w:ascii="標楷體" w:eastAsia="標楷體" w:hAnsi="標楷體" w:hint="eastAsia"/>
          <w:b/>
          <w:sz w:val="40"/>
          <w:szCs w:val="40"/>
        </w:rPr>
        <w:t>臺灣高等法院民事訴訟、強制執行費用提高徵收額數標準修正草案總說明</w:t>
      </w:r>
    </w:p>
    <w:p w14:paraId="592BD65A" w14:textId="044B85F1" w:rsidR="00A83E41" w:rsidRDefault="00A83E41" w:rsidP="00A83E41">
      <w:pPr>
        <w:spacing w:line="520" w:lineRule="exact"/>
        <w:ind w:left="14" w:hangingChars="5" w:hanging="14"/>
        <w:jc w:val="both"/>
        <w:rPr>
          <w:rFonts w:ascii="標楷體" w:eastAsia="標楷體" w:hAnsi="標楷體"/>
          <w:sz w:val="28"/>
          <w:szCs w:val="28"/>
        </w:rPr>
      </w:pPr>
      <w:r>
        <w:rPr>
          <w:rFonts w:ascii="標楷體" w:eastAsia="標楷體" w:hAnsi="標楷體" w:hint="eastAsia"/>
          <w:sz w:val="28"/>
          <w:szCs w:val="28"/>
        </w:rPr>
        <w:t>九十二年二月七日修正公布之民事訴訟法增訂第七十七條之二十七規定「本法應徵收之裁判費，各高等法院得因必要情形，擬定額數，報請司法院核准後加徵之。但其加徵之額數，不得超過原額數十分之五。」並為強制執行法第三十條之一、非訟事件法第十九條所</w:t>
      </w:r>
      <w:proofErr w:type="gramStart"/>
      <w:r>
        <w:rPr>
          <w:rFonts w:ascii="標楷體" w:eastAsia="標楷體" w:hAnsi="標楷體" w:hint="eastAsia"/>
          <w:sz w:val="28"/>
          <w:szCs w:val="28"/>
        </w:rPr>
        <w:t>準</w:t>
      </w:r>
      <w:proofErr w:type="gramEnd"/>
      <w:r>
        <w:rPr>
          <w:rFonts w:ascii="標楷體" w:eastAsia="標楷體" w:hAnsi="標楷體" w:hint="eastAsia"/>
          <w:sz w:val="28"/>
          <w:szCs w:val="28"/>
        </w:rPr>
        <w:t>用。臺灣高等法院雖於</w:t>
      </w:r>
      <w:proofErr w:type="gramStart"/>
      <w:r>
        <w:rPr>
          <w:rFonts w:ascii="標楷體" w:eastAsia="標楷體" w:hAnsi="標楷體" w:hint="eastAsia"/>
          <w:sz w:val="28"/>
          <w:szCs w:val="28"/>
        </w:rPr>
        <w:t>九十二年八月間據以</w:t>
      </w:r>
      <w:proofErr w:type="gramEnd"/>
      <w:r>
        <w:rPr>
          <w:rFonts w:ascii="標楷體" w:eastAsia="標楷體" w:hAnsi="標楷體" w:hint="eastAsia"/>
          <w:sz w:val="28"/>
          <w:szCs w:val="28"/>
        </w:rPr>
        <w:t>修正本件提高徵收額數，惟已歷二十餘年未曾再修正。</w:t>
      </w:r>
      <w:proofErr w:type="gramStart"/>
      <w:r>
        <w:rPr>
          <w:rFonts w:ascii="標楷體" w:eastAsia="標楷體" w:hAnsi="標楷體" w:hint="eastAsia"/>
          <w:sz w:val="28"/>
          <w:szCs w:val="28"/>
        </w:rPr>
        <w:t>鑑</w:t>
      </w:r>
      <w:proofErr w:type="gramEnd"/>
      <w:r>
        <w:rPr>
          <w:rFonts w:ascii="標楷體" w:eastAsia="標楷體" w:hAnsi="標楷體" w:hint="eastAsia"/>
          <w:sz w:val="28"/>
          <w:szCs w:val="28"/>
        </w:rPr>
        <w:t>於現今社會經濟情況已有變遷，上開修正迄今消費者物價指數、電價、油價、郵</w:t>
      </w:r>
      <w:proofErr w:type="gramStart"/>
      <w:r>
        <w:rPr>
          <w:rFonts w:ascii="標楷體" w:eastAsia="標楷體" w:hAnsi="標楷體" w:hint="eastAsia"/>
          <w:sz w:val="28"/>
          <w:szCs w:val="28"/>
        </w:rPr>
        <w:t>務</w:t>
      </w:r>
      <w:proofErr w:type="gramEnd"/>
      <w:r>
        <w:rPr>
          <w:rFonts w:ascii="標楷體" w:eastAsia="標楷體" w:hAnsi="標楷體" w:hint="eastAsia"/>
          <w:sz w:val="28"/>
          <w:szCs w:val="28"/>
        </w:rPr>
        <w:t>送達費、公務人員薪資及基本工資增加</w:t>
      </w:r>
      <w:proofErr w:type="gramStart"/>
      <w:r>
        <w:rPr>
          <w:rFonts w:ascii="標楷體" w:eastAsia="標楷體" w:hAnsi="標楷體" w:hint="eastAsia"/>
          <w:sz w:val="28"/>
          <w:szCs w:val="28"/>
        </w:rPr>
        <w:t>幅度均</w:t>
      </w:r>
      <w:r w:rsidR="00FD710C">
        <w:rPr>
          <w:rFonts w:ascii="標楷體" w:eastAsia="標楷體" w:hAnsi="標楷體" w:hint="eastAsia"/>
          <w:sz w:val="28"/>
          <w:szCs w:val="28"/>
        </w:rPr>
        <w:t>達</w:t>
      </w:r>
      <w:r w:rsidRPr="00F84F2A">
        <w:rPr>
          <w:rFonts w:ascii="標楷體" w:eastAsia="標楷體" w:hAnsi="標楷體" w:hint="eastAsia"/>
          <w:sz w:val="28"/>
          <w:szCs w:val="28"/>
        </w:rPr>
        <w:t>百分之十七</w:t>
      </w:r>
      <w:proofErr w:type="gramEnd"/>
      <w:r w:rsidRPr="00F84F2A">
        <w:rPr>
          <w:rFonts w:ascii="標楷體" w:eastAsia="標楷體" w:hAnsi="標楷體" w:hint="eastAsia"/>
          <w:sz w:val="28"/>
          <w:szCs w:val="28"/>
        </w:rPr>
        <w:t>至百分之六十六</w:t>
      </w:r>
      <w:proofErr w:type="gramStart"/>
      <w:r>
        <w:rPr>
          <w:rFonts w:ascii="標楷體" w:eastAsia="標楷體" w:hAnsi="標楷體" w:hint="eastAsia"/>
          <w:sz w:val="28"/>
          <w:szCs w:val="28"/>
        </w:rPr>
        <w:t>之間，</w:t>
      </w:r>
      <w:proofErr w:type="gramEnd"/>
      <w:r>
        <w:rPr>
          <w:rFonts w:ascii="標楷體" w:eastAsia="標楷體" w:hAnsi="標楷體" w:hint="eastAsia"/>
          <w:sz w:val="28"/>
          <w:szCs w:val="28"/>
        </w:rPr>
        <w:t>加徵標準實有調整之必要，</w:t>
      </w:r>
      <w:proofErr w:type="gramStart"/>
      <w:r w:rsidRPr="005D03E1">
        <w:rPr>
          <w:rFonts w:ascii="標楷體" w:eastAsia="標楷體" w:hAnsi="標楷體" w:hint="eastAsia"/>
          <w:sz w:val="28"/>
          <w:szCs w:val="28"/>
        </w:rPr>
        <w:t>俾</w:t>
      </w:r>
      <w:proofErr w:type="gramEnd"/>
      <w:r w:rsidRPr="005D03E1">
        <w:rPr>
          <w:rFonts w:ascii="標楷體" w:eastAsia="標楷體" w:hAnsi="標楷體" w:hint="eastAsia"/>
          <w:sz w:val="28"/>
          <w:szCs w:val="28"/>
        </w:rPr>
        <w:t>利適當反映法院辦理民事事件相關成本增加之情形。</w:t>
      </w:r>
      <w:proofErr w:type="gramStart"/>
      <w:r>
        <w:rPr>
          <w:rFonts w:ascii="標楷體" w:eastAsia="標楷體" w:hAnsi="標楷體" w:hint="eastAsia"/>
          <w:sz w:val="28"/>
          <w:szCs w:val="28"/>
        </w:rPr>
        <w:t>爰</w:t>
      </w:r>
      <w:proofErr w:type="gramEnd"/>
      <w:r>
        <w:rPr>
          <w:rFonts w:ascii="標楷體" w:eastAsia="標楷體" w:hAnsi="標楷體" w:hint="eastAsia"/>
          <w:sz w:val="28"/>
          <w:szCs w:val="28"/>
        </w:rPr>
        <w:t>依民事訴訟法第七十七條之二十七規定，配合修</w:t>
      </w:r>
      <w:r w:rsidRPr="00F84F2A">
        <w:rPr>
          <w:rFonts w:ascii="標楷體" w:eastAsia="標楷體" w:hAnsi="標楷體" w:hint="eastAsia"/>
          <w:sz w:val="28"/>
          <w:szCs w:val="28"/>
        </w:rPr>
        <w:t>正</w:t>
      </w:r>
      <w:r>
        <w:rPr>
          <w:rFonts w:ascii="標楷體" w:eastAsia="標楷體" w:hAnsi="標楷體" w:hint="eastAsia"/>
          <w:sz w:val="28"/>
          <w:szCs w:val="28"/>
        </w:rPr>
        <w:t>提高徵收額數標準，重點如下：</w:t>
      </w:r>
    </w:p>
    <w:p w14:paraId="01CB2A31" w14:textId="57AB59EC" w:rsidR="00A83E41" w:rsidRDefault="00A83E41" w:rsidP="00A83E41">
      <w:pPr>
        <w:spacing w:line="52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一、</w:t>
      </w:r>
      <w:r w:rsidRPr="005D03E1">
        <w:rPr>
          <w:rFonts w:ascii="標楷體" w:eastAsia="標楷體" w:hAnsi="標楷體" w:hint="eastAsia"/>
          <w:sz w:val="28"/>
          <w:szCs w:val="28"/>
        </w:rPr>
        <w:t>非訟事件</w:t>
      </w:r>
      <w:r w:rsidR="003E307F" w:rsidRPr="00F84F2A">
        <w:rPr>
          <w:rFonts w:ascii="標楷體" w:eastAsia="標楷體" w:hAnsi="標楷體" w:hint="eastAsia"/>
          <w:sz w:val="28"/>
          <w:szCs w:val="28"/>
        </w:rPr>
        <w:t>程序</w:t>
      </w:r>
      <w:r w:rsidRPr="00F84F2A">
        <w:rPr>
          <w:rFonts w:ascii="標楷體" w:eastAsia="標楷體" w:hAnsi="標楷體" w:hint="eastAsia"/>
          <w:sz w:val="28"/>
          <w:szCs w:val="28"/>
        </w:rPr>
        <w:t>費</w:t>
      </w:r>
      <w:r w:rsidR="003E307F" w:rsidRPr="00F84F2A">
        <w:rPr>
          <w:rFonts w:ascii="標楷體" w:eastAsia="標楷體" w:hAnsi="標楷體" w:hint="eastAsia"/>
          <w:sz w:val="28"/>
          <w:szCs w:val="28"/>
        </w:rPr>
        <w:t>用</w:t>
      </w:r>
      <w:r w:rsidRPr="005D03E1">
        <w:rPr>
          <w:rFonts w:ascii="標楷體" w:eastAsia="標楷體" w:hAnsi="標楷體" w:hint="eastAsia"/>
          <w:sz w:val="28"/>
          <w:szCs w:val="28"/>
        </w:rPr>
        <w:t>，自</w:t>
      </w:r>
      <w:r>
        <w:rPr>
          <w:rFonts w:ascii="標楷體" w:eastAsia="標楷體" w:hAnsi="標楷體" w:hint="eastAsia"/>
          <w:sz w:val="28"/>
          <w:szCs w:val="28"/>
        </w:rPr>
        <w:t>九十四</w:t>
      </w:r>
      <w:r w:rsidRPr="005D03E1">
        <w:rPr>
          <w:rFonts w:ascii="標楷體" w:eastAsia="標楷體" w:hAnsi="標楷體" w:hint="eastAsia"/>
          <w:sz w:val="28"/>
          <w:szCs w:val="28"/>
        </w:rPr>
        <w:t>年</w:t>
      </w:r>
      <w:r>
        <w:rPr>
          <w:rFonts w:ascii="標楷體" w:eastAsia="標楷體" w:hAnsi="標楷體" w:hint="eastAsia"/>
          <w:sz w:val="28"/>
          <w:szCs w:val="28"/>
        </w:rPr>
        <w:t>二</w:t>
      </w:r>
      <w:r w:rsidRPr="005D03E1">
        <w:rPr>
          <w:rFonts w:ascii="標楷體" w:eastAsia="標楷體" w:hAnsi="標楷體" w:hint="eastAsia"/>
          <w:sz w:val="28"/>
          <w:szCs w:val="28"/>
        </w:rPr>
        <w:t>月</w:t>
      </w:r>
      <w:r>
        <w:rPr>
          <w:rFonts w:ascii="標楷體" w:eastAsia="標楷體" w:hAnsi="標楷體" w:hint="eastAsia"/>
          <w:sz w:val="28"/>
          <w:szCs w:val="28"/>
        </w:rPr>
        <w:t>五</w:t>
      </w:r>
      <w:r w:rsidRPr="005D03E1">
        <w:rPr>
          <w:rFonts w:ascii="標楷體" w:eastAsia="標楷體" w:hAnsi="標楷體" w:hint="eastAsia"/>
          <w:sz w:val="28"/>
          <w:szCs w:val="28"/>
        </w:rPr>
        <w:t>日非訟事件法修正公布後，未曾變動，配合此次</w:t>
      </w:r>
      <w:r>
        <w:rPr>
          <w:rFonts w:ascii="標楷體" w:eastAsia="標楷體" w:hAnsi="標楷體" w:hint="eastAsia"/>
          <w:sz w:val="28"/>
          <w:szCs w:val="28"/>
        </w:rPr>
        <w:t>修正</w:t>
      </w:r>
      <w:r w:rsidRPr="005D03E1">
        <w:rPr>
          <w:rFonts w:ascii="標楷體" w:eastAsia="標楷體" w:hAnsi="標楷體" w:hint="eastAsia"/>
          <w:sz w:val="28"/>
          <w:szCs w:val="28"/>
        </w:rPr>
        <w:t>一併提高徵收數額，</w:t>
      </w:r>
      <w:proofErr w:type="gramStart"/>
      <w:r w:rsidRPr="005D03E1">
        <w:rPr>
          <w:rFonts w:ascii="標楷體" w:eastAsia="標楷體" w:hAnsi="標楷體" w:hint="eastAsia"/>
          <w:sz w:val="28"/>
          <w:szCs w:val="28"/>
        </w:rPr>
        <w:t>爰</w:t>
      </w:r>
      <w:r>
        <w:rPr>
          <w:rFonts w:ascii="標楷體" w:eastAsia="標楷體" w:hAnsi="標楷體" w:hint="eastAsia"/>
          <w:sz w:val="28"/>
          <w:szCs w:val="28"/>
        </w:rPr>
        <w:t>增列</w:t>
      </w:r>
      <w:r w:rsidRPr="005D03E1">
        <w:rPr>
          <w:rFonts w:ascii="標楷體" w:eastAsia="標楷體" w:hAnsi="標楷體" w:hint="eastAsia"/>
          <w:sz w:val="28"/>
          <w:szCs w:val="28"/>
        </w:rPr>
        <w:t>非訟事</w:t>
      </w:r>
      <w:proofErr w:type="gramEnd"/>
      <w:r w:rsidRPr="005D03E1">
        <w:rPr>
          <w:rFonts w:ascii="標楷體" w:eastAsia="標楷體" w:hAnsi="標楷體" w:hint="eastAsia"/>
          <w:sz w:val="28"/>
          <w:szCs w:val="28"/>
        </w:rPr>
        <w:t>件法相關條文，</w:t>
      </w:r>
      <w:proofErr w:type="gramStart"/>
      <w:r w:rsidRPr="005D03E1">
        <w:rPr>
          <w:rFonts w:ascii="標楷體" w:eastAsia="標楷體" w:hAnsi="標楷體" w:hint="eastAsia"/>
          <w:sz w:val="28"/>
          <w:szCs w:val="28"/>
        </w:rPr>
        <w:t>併</w:t>
      </w:r>
      <w:proofErr w:type="gramEnd"/>
      <w:r w:rsidRPr="005D03E1">
        <w:rPr>
          <w:rFonts w:ascii="標楷體" w:eastAsia="標楷體" w:hAnsi="標楷體" w:hint="eastAsia"/>
          <w:sz w:val="28"/>
          <w:szCs w:val="28"/>
        </w:rPr>
        <w:t>將</w:t>
      </w:r>
      <w:r w:rsidRPr="00162B88">
        <w:rPr>
          <w:rFonts w:ascii="標楷體" w:eastAsia="標楷體" w:hAnsi="標楷體" w:hint="eastAsia"/>
          <w:sz w:val="28"/>
          <w:szCs w:val="28"/>
        </w:rPr>
        <w:t>現行名稱</w:t>
      </w:r>
      <w:r w:rsidRPr="005D03E1">
        <w:rPr>
          <w:rFonts w:ascii="標楷體" w:eastAsia="標楷體" w:hAnsi="標楷體" w:hint="eastAsia"/>
          <w:sz w:val="28"/>
          <w:szCs w:val="28"/>
        </w:rPr>
        <w:t>修正為「臺灣高等法院民事訴訟與非訟事件及強制執行費用提高徵收額數標準」</w:t>
      </w:r>
      <w:r w:rsidRPr="00162B88">
        <w:rPr>
          <w:rFonts w:ascii="標楷體" w:eastAsia="標楷體" w:hAnsi="標楷體" w:hint="eastAsia"/>
          <w:sz w:val="28"/>
          <w:szCs w:val="28"/>
        </w:rPr>
        <w:t>。（修正條文第一條）</w:t>
      </w:r>
    </w:p>
    <w:p w14:paraId="6A1E5810" w14:textId="1F80B74E" w:rsidR="00A83E41" w:rsidRPr="008B08CC" w:rsidRDefault="00A83E41" w:rsidP="00A83E41">
      <w:pPr>
        <w:spacing w:line="52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二、就民事訴訟</w:t>
      </w:r>
      <w:r w:rsidRPr="007C0D64">
        <w:rPr>
          <w:rFonts w:ascii="標楷體" w:eastAsia="標楷體" w:hAnsi="標楷體" w:hint="eastAsia"/>
          <w:sz w:val="28"/>
          <w:szCs w:val="28"/>
        </w:rPr>
        <w:t>法第七十七條之十三、第七十七條之十六規定因財產權而起訴之事件，</w:t>
      </w:r>
      <w:r w:rsidR="008B08CC" w:rsidRPr="007C0D64">
        <w:rPr>
          <w:rFonts w:ascii="標楷體" w:eastAsia="標楷體" w:hAnsi="標楷體" w:hint="eastAsia"/>
          <w:sz w:val="28"/>
          <w:szCs w:val="28"/>
        </w:rPr>
        <w:t>增加</w:t>
      </w:r>
      <w:r w:rsidRPr="007C0D64">
        <w:rPr>
          <w:rFonts w:ascii="標楷體" w:eastAsia="標楷體" w:hAnsi="標楷體" w:hint="eastAsia"/>
          <w:sz w:val="28"/>
          <w:szCs w:val="28"/>
        </w:rPr>
        <w:t>訴訟標的金（價）額在</w:t>
      </w:r>
      <w:r w:rsidR="008B08CC" w:rsidRPr="007C0D64">
        <w:rPr>
          <w:rFonts w:ascii="標楷體" w:eastAsia="標楷體" w:hAnsi="標楷體" w:hint="eastAsia"/>
          <w:sz w:val="28"/>
          <w:szCs w:val="28"/>
        </w:rPr>
        <w:t>十萬元以下部</w:t>
      </w:r>
      <w:r w:rsidR="00FB120E" w:rsidRPr="007C0D64">
        <w:rPr>
          <w:rFonts w:ascii="標楷體" w:eastAsia="標楷體" w:hAnsi="標楷體" w:hint="eastAsia"/>
          <w:sz w:val="28"/>
          <w:szCs w:val="28"/>
        </w:rPr>
        <w:t>分</w:t>
      </w:r>
      <w:r w:rsidR="008B08CC" w:rsidRPr="007C0D64">
        <w:rPr>
          <w:rFonts w:ascii="標楷體" w:eastAsia="標楷體" w:hAnsi="標楷體" w:hint="eastAsia"/>
          <w:sz w:val="28"/>
          <w:szCs w:val="28"/>
        </w:rPr>
        <w:t>加徵十分之</w:t>
      </w:r>
      <w:r w:rsidR="00FB120E" w:rsidRPr="007C0D64">
        <w:rPr>
          <w:rFonts w:ascii="標楷體" w:eastAsia="標楷體" w:hAnsi="標楷體" w:hint="eastAsia"/>
          <w:sz w:val="28"/>
          <w:szCs w:val="28"/>
        </w:rPr>
        <w:t>五</w:t>
      </w:r>
      <w:r w:rsidR="008B08CC" w:rsidRPr="007C0D64">
        <w:rPr>
          <w:rFonts w:ascii="標楷體" w:eastAsia="標楷體" w:hAnsi="標楷體" w:hint="eastAsia"/>
          <w:sz w:val="28"/>
          <w:szCs w:val="28"/>
        </w:rPr>
        <w:t>，逾十萬元至一千萬元部分，調整為加</w:t>
      </w:r>
      <w:bookmarkStart w:id="0" w:name="_GoBack"/>
      <w:bookmarkEnd w:id="0"/>
      <w:r w:rsidR="008B08CC" w:rsidRPr="007C0D64">
        <w:rPr>
          <w:rFonts w:ascii="標楷體" w:eastAsia="標楷體" w:hAnsi="標楷體" w:hint="eastAsia"/>
          <w:sz w:val="28"/>
          <w:szCs w:val="28"/>
        </w:rPr>
        <w:t>徵十分之三，逾一千萬元以上則維持原規定，加徵十分之一；</w:t>
      </w:r>
      <w:r w:rsidRPr="007C0D64">
        <w:rPr>
          <w:rFonts w:ascii="標楷體" w:eastAsia="標楷體" w:hAnsi="標楷體" w:hint="eastAsia"/>
          <w:sz w:val="28"/>
          <w:szCs w:val="28"/>
        </w:rPr>
        <w:t>增訂同法第七十七條之十四、第七十七條之十六規定非因財產權</w:t>
      </w:r>
      <w:r w:rsidRPr="008B08CC">
        <w:rPr>
          <w:rFonts w:ascii="標楷體" w:eastAsia="標楷體" w:hAnsi="標楷體" w:hint="eastAsia"/>
          <w:sz w:val="28"/>
          <w:szCs w:val="28"/>
        </w:rPr>
        <w:t>而起訴之事件，依原定額數加徵十分之五；另增訂同法第七十七條之十七、第七十七條之十八規定徵收之裁判費，依原定額數加徵十分之五。（修正條文第二條、第三條、第四條）</w:t>
      </w:r>
    </w:p>
    <w:p w14:paraId="29255BD9" w14:textId="3161495D" w:rsidR="00A83E41" w:rsidRDefault="00A83E41" w:rsidP="00A83E41">
      <w:pPr>
        <w:spacing w:line="52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三、依非訟事件法第十九條</w:t>
      </w:r>
      <w:proofErr w:type="gramStart"/>
      <w:r>
        <w:rPr>
          <w:rFonts w:ascii="標楷體" w:eastAsia="標楷體" w:hAnsi="標楷體" w:hint="eastAsia"/>
          <w:sz w:val="28"/>
          <w:szCs w:val="28"/>
        </w:rPr>
        <w:t>準</w:t>
      </w:r>
      <w:proofErr w:type="gramEnd"/>
      <w:r>
        <w:rPr>
          <w:rFonts w:ascii="標楷體" w:eastAsia="標楷體" w:hAnsi="標楷體" w:hint="eastAsia"/>
          <w:sz w:val="28"/>
          <w:szCs w:val="28"/>
        </w:rPr>
        <w:t>用民事訴訟法第七十七條之二十七規定，增訂就非訟事件法第十三條、第十四條第一項、第十五條、第十</w:t>
      </w:r>
      <w:r>
        <w:rPr>
          <w:rFonts w:ascii="標楷體" w:eastAsia="標楷體" w:hAnsi="標楷體" w:hint="eastAsia"/>
          <w:sz w:val="28"/>
          <w:szCs w:val="28"/>
        </w:rPr>
        <w:lastRenderedPageBreak/>
        <w:t>七條規</w:t>
      </w:r>
      <w:r w:rsidRPr="00F84F2A">
        <w:rPr>
          <w:rFonts w:ascii="標楷體" w:eastAsia="標楷體" w:hAnsi="標楷體" w:hint="eastAsia"/>
          <w:sz w:val="28"/>
          <w:szCs w:val="28"/>
        </w:rPr>
        <w:t>定之</w:t>
      </w:r>
      <w:r w:rsidR="003E307F" w:rsidRPr="00F84F2A">
        <w:rPr>
          <w:rFonts w:ascii="標楷體" w:eastAsia="標楷體" w:hAnsi="標楷體" w:hint="eastAsia"/>
          <w:sz w:val="28"/>
          <w:szCs w:val="28"/>
        </w:rPr>
        <w:t>非訟事件程序</w:t>
      </w:r>
      <w:r w:rsidRPr="00F84F2A">
        <w:rPr>
          <w:rFonts w:ascii="標楷體" w:eastAsia="標楷體" w:hAnsi="標楷體" w:hint="eastAsia"/>
          <w:sz w:val="28"/>
          <w:szCs w:val="28"/>
        </w:rPr>
        <w:t>費用</w:t>
      </w:r>
      <w:r>
        <w:rPr>
          <w:rFonts w:ascii="標楷體" w:eastAsia="標楷體" w:hAnsi="標楷體" w:hint="eastAsia"/>
          <w:sz w:val="28"/>
          <w:szCs w:val="28"/>
        </w:rPr>
        <w:t>，依原定額數加徵十分之五。（修正條文第五條）</w:t>
      </w:r>
    </w:p>
    <w:p w14:paraId="19414BE2" w14:textId="71643D16" w:rsidR="00A83E41" w:rsidRPr="00C92282" w:rsidRDefault="00A83E41" w:rsidP="00A83E41">
      <w:pPr>
        <w:spacing w:line="520" w:lineRule="exact"/>
        <w:ind w:left="560" w:hangingChars="200" w:hanging="560"/>
        <w:jc w:val="both"/>
        <w:rPr>
          <w:rFonts w:ascii="標楷體" w:eastAsia="標楷體" w:hAnsi="標楷體"/>
          <w:sz w:val="28"/>
          <w:szCs w:val="28"/>
        </w:rPr>
      </w:pPr>
    </w:p>
    <w:p w14:paraId="3A858BCB" w14:textId="43D03199" w:rsidR="00C92282" w:rsidRPr="00A83E41" w:rsidRDefault="00C92282" w:rsidP="00A83E41"/>
    <w:sectPr w:rsidR="00C92282" w:rsidRPr="00A83E41">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CC77EE" w14:textId="77777777" w:rsidR="00375581" w:rsidRDefault="00375581" w:rsidP="00A83E41">
      <w:r>
        <w:separator/>
      </w:r>
    </w:p>
  </w:endnote>
  <w:endnote w:type="continuationSeparator" w:id="0">
    <w:p w14:paraId="490D582E" w14:textId="77777777" w:rsidR="00375581" w:rsidRDefault="00375581" w:rsidP="00A83E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CDA2EC" w14:textId="77777777" w:rsidR="00375581" w:rsidRDefault="00375581" w:rsidP="00A83E41">
      <w:r>
        <w:separator/>
      </w:r>
    </w:p>
  </w:footnote>
  <w:footnote w:type="continuationSeparator" w:id="0">
    <w:p w14:paraId="2E7453D7" w14:textId="77777777" w:rsidR="00375581" w:rsidRDefault="00375581" w:rsidP="00A83E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hideSpellingErrors/>
  <w:hideGrammaticalErrors/>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174F"/>
    <w:rsid w:val="000446E5"/>
    <w:rsid w:val="00066E14"/>
    <w:rsid w:val="000C235A"/>
    <w:rsid w:val="001065AB"/>
    <w:rsid w:val="001175E6"/>
    <w:rsid w:val="00162B88"/>
    <w:rsid w:val="00176AB9"/>
    <w:rsid w:val="001D0031"/>
    <w:rsid w:val="001F054B"/>
    <w:rsid w:val="001F72F5"/>
    <w:rsid w:val="00277914"/>
    <w:rsid w:val="00317E6E"/>
    <w:rsid w:val="00375581"/>
    <w:rsid w:val="00381932"/>
    <w:rsid w:val="003E307F"/>
    <w:rsid w:val="003F3AAB"/>
    <w:rsid w:val="004D174F"/>
    <w:rsid w:val="005D03E1"/>
    <w:rsid w:val="00655BB5"/>
    <w:rsid w:val="007B6515"/>
    <w:rsid w:val="007C0D64"/>
    <w:rsid w:val="007D7380"/>
    <w:rsid w:val="007F0480"/>
    <w:rsid w:val="008B08CC"/>
    <w:rsid w:val="008B0BEA"/>
    <w:rsid w:val="008E72F7"/>
    <w:rsid w:val="00A020B7"/>
    <w:rsid w:val="00A07980"/>
    <w:rsid w:val="00A52D07"/>
    <w:rsid w:val="00A83E41"/>
    <w:rsid w:val="00B07D96"/>
    <w:rsid w:val="00B36D1F"/>
    <w:rsid w:val="00B879E0"/>
    <w:rsid w:val="00BA47D7"/>
    <w:rsid w:val="00C507B8"/>
    <w:rsid w:val="00C92282"/>
    <w:rsid w:val="00CA4EC6"/>
    <w:rsid w:val="00CE72F7"/>
    <w:rsid w:val="00D33A9E"/>
    <w:rsid w:val="00D6071F"/>
    <w:rsid w:val="00E04731"/>
    <w:rsid w:val="00E07942"/>
    <w:rsid w:val="00F11538"/>
    <w:rsid w:val="00F84601"/>
    <w:rsid w:val="00F84F2A"/>
    <w:rsid w:val="00FB120E"/>
    <w:rsid w:val="00FD710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29CF27"/>
  <w15:chartTrackingRefBased/>
  <w15:docId w15:val="{94A6FBD2-7C17-416A-8442-315641670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92282"/>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3E41"/>
    <w:pPr>
      <w:tabs>
        <w:tab w:val="center" w:pos="4153"/>
        <w:tab w:val="right" w:pos="8306"/>
      </w:tabs>
      <w:snapToGrid w:val="0"/>
    </w:pPr>
    <w:rPr>
      <w:sz w:val="20"/>
      <w:szCs w:val="20"/>
    </w:rPr>
  </w:style>
  <w:style w:type="character" w:customStyle="1" w:styleId="a4">
    <w:name w:val="頁首 字元"/>
    <w:basedOn w:val="a0"/>
    <w:link w:val="a3"/>
    <w:uiPriority w:val="99"/>
    <w:rsid w:val="00A83E41"/>
    <w:rPr>
      <w:rFonts w:ascii="Calibri" w:eastAsia="新細明體" w:hAnsi="Calibri" w:cs="Times New Roman"/>
      <w:sz w:val="20"/>
      <w:szCs w:val="20"/>
    </w:rPr>
  </w:style>
  <w:style w:type="paragraph" w:styleId="a5">
    <w:name w:val="footer"/>
    <w:basedOn w:val="a"/>
    <w:link w:val="a6"/>
    <w:uiPriority w:val="99"/>
    <w:unhideWhenUsed/>
    <w:rsid w:val="00A83E41"/>
    <w:pPr>
      <w:tabs>
        <w:tab w:val="center" w:pos="4153"/>
        <w:tab w:val="right" w:pos="8306"/>
      </w:tabs>
      <w:snapToGrid w:val="0"/>
    </w:pPr>
    <w:rPr>
      <w:sz w:val="20"/>
      <w:szCs w:val="20"/>
    </w:rPr>
  </w:style>
  <w:style w:type="character" w:customStyle="1" w:styleId="a6">
    <w:name w:val="頁尾 字元"/>
    <w:basedOn w:val="a0"/>
    <w:link w:val="a5"/>
    <w:uiPriority w:val="99"/>
    <w:rsid w:val="00A83E41"/>
    <w:rPr>
      <w:rFonts w:ascii="Calibri" w:eastAsia="新細明體"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7567133">
      <w:bodyDiv w:val="1"/>
      <w:marLeft w:val="0"/>
      <w:marRight w:val="0"/>
      <w:marTop w:val="0"/>
      <w:marBottom w:val="0"/>
      <w:divBdr>
        <w:top w:val="none" w:sz="0" w:space="0" w:color="auto"/>
        <w:left w:val="none" w:sz="0" w:space="0" w:color="auto"/>
        <w:bottom w:val="none" w:sz="0" w:space="0" w:color="auto"/>
        <w:right w:val="none" w:sz="0" w:space="0" w:color="auto"/>
      </w:divBdr>
    </w:div>
    <w:div w:id="904026361">
      <w:bodyDiv w:val="1"/>
      <w:marLeft w:val="0"/>
      <w:marRight w:val="0"/>
      <w:marTop w:val="0"/>
      <w:marBottom w:val="0"/>
      <w:divBdr>
        <w:top w:val="none" w:sz="0" w:space="0" w:color="auto"/>
        <w:left w:val="none" w:sz="0" w:space="0" w:color="auto"/>
        <w:bottom w:val="none" w:sz="0" w:space="0" w:color="auto"/>
        <w:right w:val="none" w:sz="0" w:space="0" w:color="auto"/>
      </w:divBdr>
    </w:div>
    <w:div w:id="1278945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114</Words>
  <Characters>654</Characters>
  <Application>Microsoft Office Word</Application>
  <DocSecurity>0</DocSecurity>
  <Lines>5</Lines>
  <Paragraphs>1</Paragraphs>
  <ScaleCrop>false</ScaleCrop>
  <Company/>
  <LinksUpToDate>false</LinksUpToDate>
  <CharactersWithSpaces>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TPH</dc:creator>
  <cp:keywords/>
  <dc:description/>
  <cp:lastModifiedBy>陳嬿如</cp:lastModifiedBy>
  <cp:revision>3</cp:revision>
  <dcterms:created xsi:type="dcterms:W3CDTF">2024-09-13T03:41:00Z</dcterms:created>
  <dcterms:modified xsi:type="dcterms:W3CDTF">2024-09-13T03:45:00Z</dcterms:modified>
</cp:coreProperties>
</file>