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D72700">
        <w:trPr>
          <w:cantSplit/>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bookmarkStart w:id="0" w:name="_GoBack" w:colFirst="2" w:colLast="3"/>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D72700">
        <w:trPr>
          <w:cantSplit/>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D72700" w:rsidRPr="0055731F" w14:paraId="776F7AB0" w14:textId="77777777" w:rsidTr="00D72700">
        <w:trPr>
          <w:cantSplit/>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D7270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(一)</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減列委辦費（不含現行法律明文規定支出）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年度中央政府總預算案針對各機關及所屬統刪項目如下：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大陸地區旅費：統刪</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業部、林業及自然保育署及所屬、漁業署及所屬、動植物防疫檢疫署及所屬、農糧署及所屬、衛生福利部、疾病管</w:t>
            </w:r>
            <w:r w:rsidRPr="0055731F">
              <w:rPr>
                <w:rFonts w:eastAsia="標楷體" w:hint="eastAsia"/>
                <w:color w:val="000000" w:themeColor="text1"/>
                <w:kern w:val="0"/>
                <w:sz w:val="22"/>
                <w:szCs w:val="22"/>
              </w:rPr>
              <w:lastRenderedPageBreak/>
              <w:t>制署、食品藥物管理署、環境部、金融監督管理委員會、證券期貨局、海洋委員會、海巡署及所屬改以其他項目刪減替代，科目自行調整。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卹基金管理局、監察院、審計部、內政部、國土管理署及所屬、警政署及所屬、中央警察大學、消防署及所屬、國家公園署及所屬、移民署、建築研究所、空中勤務總隊、外交部、領事事務局、國防部、國防部所屬、財政部、國庫署、賦稅署、臺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臺中區農業改良場、高雄區農業改良場、花蓮區農業改良場、漁業署及所屬、動植物防疫檢疫署及所屬、農業金融署、農糧署及所屬、農田水利署、衛生福利部、疾病管制署、食品藥物管理署、中央健康保險署、國民健康署、社會及家庭署、環境部、氣候變遷署、資源循環署、化學物質管理署、環境管理署、國家環境研究院、數位產業署、僑務委員會、國家科學及技術委員會、新竹科學園區管理局、中部科學園區管理局、南部科學園區管理局、金融監督管理委員會、保險局、海洋委員會、海巡署及所屬、海洋保育署、國家</w:t>
            </w:r>
            <w:r w:rsidRPr="0055731F">
              <w:rPr>
                <w:rFonts w:eastAsia="標楷體" w:hint="eastAsia"/>
                <w:color w:val="000000" w:themeColor="text1"/>
                <w:kern w:val="0"/>
                <w:sz w:val="22"/>
                <w:szCs w:val="22"/>
              </w:rPr>
              <w:lastRenderedPageBreak/>
              <w:t>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選部、銓敘部、審計部、審計部臺北市審計處、審計部新北市審計處、審計部桃園市審計處、審計部臺中市審計處、審計部臺南市審計處、審計部高雄市審計處、內政部、國土管理署及所屬、警政署及所屬、中央警察大學、消防署及所屬、</w:t>
            </w:r>
            <w:r w:rsidRPr="0055731F">
              <w:rPr>
                <w:rFonts w:eastAsia="標楷體" w:hint="eastAsia"/>
                <w:color w:val="000000" w:themeColor="text1"/>
                <w:kern w:val="0"/>
                <w:sz w:val="22"/>
                <w:szCs w:val="22"/>
              </w:rPr>
              <w:lastRenderedPageBreak/>
              <w:t>移民署、建築研究所、外交部、國防部所屬、財政部、國庫署、臺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軍事裝備及設施：統刪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一般事務費：除現行法律明文規定支出不刪外，其餘統刪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w:t>
            </w:r>
            <w:r w:rsidRPr="0055731F">
              <w:rPr>
                <w:rFonts w:eastAsia="標楷體" w:hint="eastAsia"/>
                <w:color w:val="000000" w:themeColor="text1"/>
                <w:kern w:val="0"/>
                <w:sz w:val="22"/>
                <w:szCs w:val="22"/>
              </w:rPr>
              <w:lastRenderedPageBreak/>
              <w:t>行政法院、臺北高等行政法院、臺中高等行政法院、高雄高等行政法院、懲戒法院、法官學院、智慧財產及商業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審計部新北市審計處、審計部桃園市審計處、審計部臺中市審計處、審計部臺南市審計處、審計部高雄市審計處、內政部、國土管理署及所屬、警政署及所屬、消防署及所屬、移民署、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w:t>
            </w:r>
            <w:r w:rsidRPr="0055731F">
              <w:rPr>
                <w:rFonts w:eastAsia="標楷體" w:hint="eastAsia"/>
                <w:color w:val="000000" w:themeColor="text1"/>
                <w:kern w:val="0"/>
                <w:sz w:val="22"/>
                <w:szCs w:val="22"/>
              </w:rPr>
              <w:lastRenderedPageBreak/>
              <w:t>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萬元以下機關不刪外，其餘統刪</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設備及投資：除現行法律明文規定支出、資產作價投資及增資台灣電力股份有限公司不刪外，其餘統刪</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臺北高等行政法院、臺中高等行政法院、高雄高等行政法院、懲戒法院、法官學院、智慧財產及商業法院、臺灣高等法院、臺灣高等法院臺中分院、臺灣高等法院高雄分院、臺灣高等法院花蓮分院、臺灣臺北地方法院、臺灣士林地方法院、臺灣新北地方法院、臺灣桃園地方法院、臺灣新竹地方法院、臺灣苗栗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監察院、審計部臺北市審計處、審計部新北市審計處、審計部桃園市審計處、審計部臺中市審計處、審計部臺南市審計處、審計部高雄市審計處、消防署及所屬、國防部、財政部、國庫署、賦稅署、臺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臺中檢察分署、臺灣高等檢察署臺南檢察</w:t>
            </w:r>
            <w:r w:rsidRPr="0055731F">
              <w:rPr>
                <w:rFonts w:eastAsia="標楷體" w:hint="eastAsia"/>
                <w:color w:val="000000" w:themeColor="text1"/>
                <w:kern w:val="0"/>
                <w:sz w:val="22"/>
                <w:szCs w:val="22"/>
              </w:rPr>
              <w:lastRenderedPageBreak/>
              <w:t>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對國內團體之捐助及政府機關間之補助：除現行法律明文規定支出不刪外，其餘統刪</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智慧財產局、產業園區管理局及所屬、觀光署及所屬、公路局及所屬、航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對地方政府之補助：除現行法律明文規定支出及一般性補助款不刪外，其餘統刪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，其中內政部、警政署及所屬、消防署及所屬、移民署、財政部、臺灣臺中地方檢察署、臺灣彰化地方檢察署、臺灣雲林地方檢察署、臺灣嘉義地</w:t>
            </w:r>
            <w:r w:rsidRPr="0055731F">
              <w:rPr>
                <w:rFonts w:eastAsia="標楷體" w:hint="eastAsia"/>
                <w:color w:val="000000" w:themeColor="text1"/>
                <w:kern w:val="0"/>
                <w:sz w:val="22"/>
                <w:szCs w:val="22"/>
              </w:rPr>
              <w:lastRenderedPageBreak/>
              <w:t>方檢察署、臺灣臺南地方檢察署、臺灣橋頭地方檢察署、臺灣高雄地方檢察署、臺灣屏東地方檢察署、臺灣花蓮地方檢察署、農業部、動植物防疫檢疫署及所屬、疾病管制署、中央健康保險署、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bookmarkEnd w:id="0"/>
      <w:tr w:rsidR="00D72700" w:rsidRPr="0055731F" w14:paraId="48681FAF" w14:textId="77777777" w:rsidTr="00D7270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年度，中央政府債務未償餘額實際數為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億元，較蔡政府上台時的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年中央政府稅課收入超徵金額，一年大約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準、財政管理落伍；沒有列入施政規劃的稅收，表示預算程序失靈、政府行政不效率；如有虛增的稅賦，則表示整體稅制失修、恐使整體稅制的正當性受質疑。一味忽略常態性超徵的情形，是因循苟且、便宜行事。顯見常態性超徵稅收不僅使政府無法正確預估、掌握財源，導致施政進度落後、行政效率不彰；也有讓政府的實際舉債數遠低於預算數，有美化財報之嫌；超徵稅收的金額也成為政府的小金庫，只要是符合法規就可以運用，缺乏被監督的功能。政府預算編列原則應量入為出，鉅額超徵為量入之失敗、政府之數字管理失靈。據立法院預算中心報告顯示，</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億元。為解決政府常態性超徵稅收之情形、精進稅收預測的模式與調整技術官僚的心態，按部就班、有系統性地檢修整體稅制，爰於</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年度中央政府總預算稅課收入實徵數高於預算數時，優先減少舉債、增加還本或累計至歲計賸餘及適當支持勞工保險基金。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t>屬財政部及行政院主計總處應辦事項。</w:t>
            </w:r>
          </w:p>
        </w:tc>
      </w:tr>
      <w:tr w:rsidR="00D72700" w:rsidRPr="0055731F" w14:paraId="1F9966BA" w14:textId="77777777" w:rsidTr="00D72700">
        <w:trPr>
          <w:trHeight w:val="56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萬元，用以推動政府資料加密分持及跨境備援，其性質屬新興計畫。跨境備份涉及主權及傳輸安全問題，理應透過政府間談判，以愛沙尼亞為例，其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年於駐盧森堡大使館內開設數據大使館，兩國經過談判確立該伺服器視為愛沙尼亞領土，非經許可不得進入、完全獨立。請數位發展部向立法院交通委員會提出詳列各計畫之名稱、各年度期程及經</w:t>
            </w:r>
            <w:r w:rsidRPr="0055731F">
              <w:rPr>
                <w:rFonts w:eastAsia="標楷體" w:hint="eastAsia"/>
                <w:color w:val="000000" w:themeColor="text1"/>
                <w:kern w:val="0"/>
                <w:sz w:val="22"/>
                <w:szCs w:val="22"/>
              </w:rPr>
              <w:lastRenderedPageBreak/>
              <w:t>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lastRenderedPageBreak/>
              <w:t>屬數位發展部主辦，內政部、財政部、經濟部、交通部、勞動部及衛生福利部協辦事項。</w:t>
            </w:r>
          </w:p>
        </w:tc>
      </w:tr>
      <w:tr w:rsidR="00D72700" w:rsidRPr="0055731F" w14:paraId="7B2B4DD2" w14:textId="77777777" w:rsidTr="00D7270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遠超原編列預算數，顯見行政院主計總處、財政部預估稅收過於保守，執行結果與預測存在極大差距，稅課收入估計編列作業之精準性不足，爰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D7270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進帳數大幅增加，卻不見政府機關因此將超徵之稅收中更高的比例用在債務還本和付息上；然而近幾年總預算編列之還本預算數均低於千億元，相對於當年度到期債務總額明顯不足，其中</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，其不足數仍須透過債務基金舉新以還舊、舉債為還債的方式調度財源來攤還。政府每年依據公共債務法之法定最低比例來編列債務還本付息數，但在近年稅收大幅超徵數千億元，且未來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年間將面臨沉重的待償付債務壓力下，為免債留子孫、債</w:t>
            </w:r>
            <w:r w:rsidRPr="0055731F">
              <w:rPr>
                <w:rFonts w:eastAsia="標楷體" w:hint="eastAsia"/>
                <w:color w:val="000000" w:themeColor="text1"/>
                <w:kern w:val="0"/>
                <w:sz w:val="22"/>
                <w:szCs w:val="22"/>
              </w:rPr>
              <w:lastRenderedPageBreak/>
              <w:t>留下一任政府，爰要求行政院召集行政院主計總處、財政部及其他相關單位，就未來若在前年度稅收大幅超徵數千億元之情況下將額外提撥法定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D7270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億元之具體規劃，爰要求行政院主計總處及財政部說明將如何運用超徵之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D7270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個多月的看守內閣時期。爰此，為避免各行政機關有提前濫行消耗預算之情事發生，使新政府上任後恐面臨經費不敷使用，施政捉襟見肘之虞。於</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648BCEC" w14:textId="77777777" w:rsidTr="00D7270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意即歲出分配預算遇經費不足</w:t>
            </w:r>
            <w:r w:rsidRPr="0055731F">
              <w:rPr>
                <w:rFonts w:eastAsia="標楷體" w:hint="eastAsia"/>
                <w:color w:val="000000" w:themeColor="text1"/>
                <w:kern w:val="0"/>
                <w:sz w:val="22"/>
                <w:szCs w:val="22"/>
              </w:rPr>
              <w:lastRenderedPageBreak/>
              <w:t>為第一預備金動支條件，經向行政院主計總處備案後，不需再經立法院同意，即可支用。蔡政府執政近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研議修訂行政規則予以動支第一預備金，若未經立法院審查恐不符預算法精神。行政規則必須符合法律保留原則，不得侵犯立法權。軍事投資計畫往往涉及經費龐大且多以分年度編列，如果計畫未及核定即以第一預備金支應首年的經費，立法院將無法善盡監督之責進行事前完整的審議。爰此，要求未來行政院主計總處應依照預算法規定嚴格核定各項預算經費，避免行政部門利用巧門編列預算；國防部未及列入</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屬國防部、行政院主計總處應辦事項。</w:t>
            </w:r>
          </w:p>
        </w:tc>
      </w:tr>
      <w:tr w:rsidR="00D72700" w:rsidRPr="0055731F" w14:paraId="7D7A18F6" w14:textId="77777777" w:rsidTr="00D72700">
        <w:trPr>
          <w:trHeight w:val="56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惟相關設施興建完工後，常未能達到預計使用目標，易致公帑支出效益偏低，爰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依循等。然，各部會補助地方建設完成案之利用率、運用率等曾低於前開活化標準而須予管控案件來源並非每年例行全面清查結果，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列管欠周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惟均有於年度內辦理計畫修正，展延計畫期程及調整年度經費情形，顯示現行著重於預算執行之控管方式，無法覈實反映計畫實際執行進度與原計畫之差異。爰要求行政院強化相關管控機制，評估將計畫經費與期程變動情形納為計畫管考會議參據，以提升執行成效，並確立公共建設計畫營運評估作業之揭露機制，將有關案件管</w:t>
            </w:r>
            <w:r w:rsidRPr="0055731F">
              <w:rPr>
                <w:rFonts w:eastAsia="標楷體" w:hint="eastAsia"/>
                <w:color w:val="000000" w:themeColor="text1"/>
                <w:kern w:val="0"/>
                <w:sz w:val="22"/>
                <w:szCs w:val="22"/>
              </w:rPr>
              <w:lastRenderedPageBreak/>
              <w:t>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D7270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挹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恐過於廣泛；又其中多有僅具短期效益者，並常因規劃、執行及管理欠妥致未達預期目標、使用成效呈不足或下降等。為提升中央政府運用補助引導區域合作治理之辦理成效、加強相關規劃、執行、管理之督導，爰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條規定等切實管考督導，俾利相關公帑支出效益。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，爰本決議無須辦事項。</w:t>
            </w:r>
          </w:p>
        </w:tc>
      </w:tr>
      <w:tr w:rsidR="00D72700" w:rsidRPr="0055731F" w14:paraId="3B7A0245" w14:textId="77777777" w:rsidTr="00D7270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惟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w:t>
            </w:r>
            <w:r w:rsidRPr="0055731F">
              <w:rPr>
                <w:rFonts w:eastAsia="標楷體" w:hint="eastAsia"/>
                <w:color w:val="000000" w:themeColor="text1"/>
                <w:kern w:val="0"/>
                <w:sz w:val="22"/>
                <w:szCs w:val="22"/>
              </w:rPr>
              <w:lastRenderedPageBreak/>
              <w:t>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個月內，以十分有限的人力，對專業性高而龐雜的預算案進行全盤審查，有賴預算相關資訊的透明化及公開化，才能事半功倍。爰要求自</w:t>
            </w:r>
            <w:r w:rsidRPr="0055731F">
              <w:rPr>
                <w:rFonts w:eastAsia="標楷體" w:hint="eastAsia"/>
                <w:color w:val="000000" w:themeColor="text1"/>
                <w:kern w:val="0"/>
                <w:sz w:val="22"/>
                <w:szCs w:val="22"/>
              </w:rPr>
              <w:t>114</w:t>
            </w:r>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前緊後鬆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3BBD6A4" w14:textId="77777777" w:rsidTr="00D7270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爰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t>屬行政院主計總處應辦事項。</w:t>
            </w:r>
          </w:p>
        </w:tc>
      </w:tr>
      <w:tr w:rsidR="00D72700" w:rsidRPr="0055731F" w14:paraId="0FE57126" w14:textId="77777777" w:rsidTr="00D7270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鑑於詐騙已成為跨國界的產業，隨著詐騙日趨科技化、智慧化與跨境化，已成為各國的治安挑戰，由於個資外洩問題嚴重，政府無力解決，尤其電子化程度愈高的國家，詐騙案件的成長更為顯著。爰要求數位發展部、金融監督管理委員會、法務部、內政部警政署及國家通訊傳播委員會與電信業者合作，探討研究詐騙常使用的工具，積極盤點資源，加重法制刑責，並檢討分析如何監控防堵通訊網路、訊息廣告及人頭帳戶等浮濫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D7270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據環境部環境管理署推估，全台灣一年浪費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萬公噸的食物，換算下來廚餘桶可以堆出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w:t>
            </w:r>
            <w:r w:rsidRPr="0055731F">
              <w:rPr>
                <w:rFonts w:eastAsia="標楷體" w:hint="eastAsia"/>
                <w:color w:val="000000" w:themeColor="text1"/>
                <w:kern w:val="0"/>
                <w:sz w:val="22"/>
                <w:szCs w:val="22"/>
              </w:rPr>
              <w:lastRenderedPageBreak/>
              <w:t>言之，國人一年浪費的食物可以援助弱勢十餘年。進一步來說，當今台灣社會最缺乏的不是食物，而是缺少途徑傳遞資源給有困難、有需要的人們手中，且有效利用剩食之目的，除解決貧窮的目標之外，應加上環境永續的新意涵。惟迄今剩食再利用方式未臻完善，尚無實際具體的成效，國內仍存在食物浪費和供給不均的矛盾，亦發生過期品流入黑市再出售給消費者之情事。因此，為有效推廣愛惜食物、落實零飢餓的目標，爰要求行政院研擬跨部會意見，結合過剩食物數及求援人數之登錄資料，建置跨部會剩食再利用方案，同時評估商家主動捐贈食物可抵扣加值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lastRenderedPageBreak/>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D7270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爰要求行政院邀集相關單位研議修法來增加上市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屬金融監督管理委員會應辦事項。</w:t>
            </w:r>
          </w:p>
        </w:tc>
      </w:tr>
      <w:tr w:rsidR="00D72700" w:rsidRPr="0055731F" w14:paraId="0FDF45C8" w14:textId="77777777" w:rsidTr="00D7270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明定對個人幣商洗錢防制監理等同法人組織；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嚴禁境外幣商非法招攬業務。對於是否禁止業者販賣穩定幣，金融監督管理委員會證券期貨局表示，由於穩定幣</w:t>
            </w:r>
            <w:r w:rsidRPr="0055731F">
              <w:rPr>
                <w:rFonts w:eastAsia="標楷體" w:hint="eastAsia"/>
                <w:color w:val="000000" w:themeColor="text1"/>
                <w:kern w:val="0"/>
                <w:sz w:val="22"/>
                <w:szCs w:val="22"/>
              </w:rPr>
              <w:lastRenderedPageBreak/>
              <w:t>由中央銀行負責辦理，並非金融監督管理委員會的權責，因此，這項指導原則僅針對非穩定幣的發行，並未針對穩定幣進行規範。為促進虛擬資產交易市場之健全，避免灰色地帶出現，爰要求行政院邀集金融監督管理委員會、中央銀行針對是否禁止業者販賣穩定幣進行磋商和研議，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屬金融監督管理委員會主辦、中央銀行協辦事項。</w:t>
            </w:r>
          </w:p>
        </w:tc>
      </w:tr>
      <w:tr w:rsidR="00D72700" w:rsidRPr="0055731F" w14:paraId="606C035F" w14:textId="77777777" w:rsidTr="00D7270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金融監督管理委員會為強化金融業資安防護能力，於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月為因應金融科技發展趨勢而研訂金融資安行動方案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版，要求一定規模之銀行、保險、證券業設置資安長，並推動金融機構聘任具資安背景之董事或設置資安諮詢小組。但部分金融機構之資安長人事異動頻繁，其中公股行庫部分，華南商業銀行股份有限公司於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度更換資安長；第一金證券股份有限公司於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月聘任之資安長就任未及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個月即辭職，其職務更懸缺超過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資安長更被指出其僅有財金背景，但沒有資安相關背景和專業。為強化各金融機構之資安治理效能，爰要求行政院責成金融監督管理委員會、財政部督導各金融機構確實依相關規定設置資安長，並避免其因公司內部職務調整而造成短期內之頻繁人事異動；另公股行庫在金融業資安防護層面應做好表率，各公股行庫資安長宜具備資安專業始得擔任，若逢人事異動之情況，各公股行庫應同時研提內部資安專長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t>屬金融監督管理委員會及財政部應辦事項。</w:t>
            </w:r>
          </w:p>
        </w:tc>
      </w:tr>
      <w:tr w:rsidR="00D72700" w:rsidRPr="0055731F" w14:paraId="443D4625" w14:textId="77777777" w:rsidTr="00D7270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為避免政府於選舉前以大筆國家資源遂行各項人事酬庸甚至移轉國家財產之虞，爰要求行政院通令各機關及其所屬與所主管的附屬單位營業及非營業基金、財團法人、行政法人、暨泛公股持股逾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司法院及所屬各機關無</w:t>
            </w:r>
            <w:r w:rsidRPr="0055731F">
              <w:rPr>
                <w:rFonts w:hint="eastAsia"/>
                <w:color w:val="000000" w:themeColor="text1"/>
                <w:kern w:val="0"/>
              </w:rPr>
              <w:t>籌設新設公司</w:t>
            </w:r>
            <w:r>
              <w:rPr>
                <w:rFonts w:hint="eastAsia"/>
                <w:color w:val="000000" w:themeColor="text1"/>
                <w:kern w:val="0"/>
              </w:rPr>
              <w:t>作業</w:t>
            </w:r>
            <w:r w:rsidRPr="0055731F">
              <w:rPr>
                <w:rFonts w:hint="eastAsia"/>
                <w:color w:val="000000" w:themeColor="text1"/>
              </w:rPr>
              <w:t>，爰本決議無須辦事項。</w:t>
            </w:r>
          </w:p>
        </w:tc>
      </w:tr>
      <w:tr w:rsidR="00D72700" w:rsidRPr="0055731F" w14:paraId="1A7505AA" w14:textId="77777777" w:rsidTr="00D7270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條規定：「公務人員對於公職人員之選舉、罷免或公民投票，不得利用職務上之權力、機會或方法，要求他人不行使投票權或為一定之行使」；次依同法第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w:t>
            </w:r>
            <w:r w:rsidRPr="0055731F">
              <w:rPr>
                <w:rFonts w:eastAsia="標楷體" w:hint="eastAsia"/>
                <w:color w:val="000000" w:themeColor="text1"/>
                <w:kern w:val="0"/>
                <w:sz w:val="22"/>
                <w:szCs w:val="22"/>
              </w:rPr>
              <w:lastRenderedPageBreak/>
              <w:t>治團體或公職候選人，動用行政資源編印製、散發、張貼文書、圖畫、其他宣傳品或辦理相關活動」；約聘人員是行政機關依法進用之人員，為公務人員行政中立法準用之對象，亦應嚴守行政中立。爰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屬原住民族委員會應辦事項。</w:t>
            </w:r>
          </w:p>
        </w:tc>
      </w:tr>
      <w:tr w:rsidR="00D72700" w:rsidRPr="0055731F" w14:paraId="4C23286F" w14:textId="77777777" w:rsidTr="00D7270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近期接獲不少基層民眾反映，於各部會之官方臉書宣傳中，可見許多部會粉專帳號發布與其業務毫無相關之宣揚政績文案，例如：環境部分享「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之貼文，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官方臉書等社群媒體宣導政策。各部會之社群平台經營，應著重於其業務相關之宣傳，或協助行政院宣傳具緊急且重大之政策，而非作為執政黨公器私用大外宣之平台，爰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D7270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院際，送請立法院審議前應完成會銜之作業。但實務運作上，例如司法、行政兩院會銜所送立法院審議之法案，常見兩院意見分歧，甚至正反意見併陳，以致法案在立法院審議過程中，難以取得共識而無法議決。爰此，要求司法院及行政院，未來若有需兩院會銜之法案送立法院審議前，宜充分進行溝通，協調出兩院意見一致之版本後，再行函請立法院審議，俾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D7270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進口蛋驗出禁用抗生素、蛋液農藥超標等風波，讓消費者「食」在不安心。再者，甚至有液蛋業者混用進口蛋涉標示不實，賣給下游餐廳、烘焙坊，引起社會譁然；凸顯政府在蛋液管理未臻完善。然而，由於蛋品都有沙門氏菌、李斯特菌等風險，且冷藏液蛋未經殺菌程序，更應不得供售為生食用途使用，有鑑於此，為求全民食品安全健康嚴加把關，爰要求行政院及其相關單位，由於部分西式糕餅類產品之製程不一定會經過充分加熱程序，為避免誤用（未經充分加熱之產品）及交叉汙染，應要求蛋</w:t>
            </w:r>
            <w:r w:rsidRPr="0055731F">
              <w:rPr>
                <w:rFonts w:eastAsia="標楷體" w:hint="eastAsia"/>
                <w:color w:val="000000" w:themeColor="text1"/>
                <w:kern w:val="0"/>
                <w:sz w:val="22"/>
                <w:szCs w:val="22"/>
              </w:rPr>
              <w:lastRenderedPageBreak/>
              <w:t>液製造業者應標示（未殺菌液蛋），強制供售為生食用途使用者皆需要採購殺菌液蛋，以確保消費者食用之安全。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lastRenderedPageBreak/>
              <w:t>屬衛生福利部及農業部應辦事項。</w:t>
            </w:r>
          </w:p>
        </w:tc>
      </w:tr>
      <w:tr w:rsidR="00D72700" w:rsidRPr="0055731F" w14:paraId="3233BB79" w14:textId="77777777" w:rsidTr="00D7270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D7270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行政院主計總處涉及司法院暨所屬各機關應辦部分：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D7270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7912940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Pr>
                <w:rFonts w:eastAsia="標楷體"/>
                <w:color w:val="000000" w:themeColor="text1"/>
                <w:kern w:val="0"/>
                <w:sz w:val="22"/>
                <w:szCs w:val="22"/>
              </w:rPr>
              <w:t>113</w:t>
            </w:r>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r>
              <w:rPr>
                <w:rFonts w:eastAsia="標楷體"/>
                <w:color w:val="000000" w:themeColor="text1"/>
                <w:kern w:val="0"/>
                <w:sz w:val="22"/>
                <w:szCs w:val="22"/>
              </w:rPr>
              <w:t>112</w:t>
            </w:r>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年度中央政府總預算案所做決議之應行配合事項」（逐年訂定），均應在預算書附表之相應部分，直接摘錄決議辦理情形，而非僅記載送立法院之文號。爰請行政院主計總處自</w:t>
            </w:r>
            <w:r w:rsidRPr="0055731F">
              <w:rPr>
                <w:rFonts w:eastAsia="標楷體"/>
                <w:color w:val="000000" w:themeColor="text1"/>
                <w:kern w:val="0"/>
                <w:sz w:val="22"/>
                <w:szCs w:val="22"/>
              </w:rPr>
              <w:t xml:space="preserve">113 </w:t>
            </w:r>
            <w:r w:rsidRPr="0055731F">
              <w:rPr>
                <w:rFonts w:eastAsia="標楷體"/>
                <w:color w:val="000000" w:themeColor="text1"/>
                <w:kern w:val="0"/>
                <w:sz w:val="22"/>
                <w:szCs w:val="22"/>
              </w:rPr>
              <w:t>年度起，制定前述逐年訂定之配合事項規定時，均應納入要求各機關詳載決議辦理情形之條文。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D72700" w:rsidRPr="0055731F" w14:paraId="79C2602A" w14:textId="77777777" w:rsidTr="00D72700">
        <w:trPr>
          <w:trHeight w:val="567"/>
          <w:jc w:val="center"/>
        </w:trPr>
        <w:tc>
          <w:tcPr>
            <w:tcW w:w="466" w:type="pct"/>
            <w:vAlign w:val="center"/>
          </w:tcPr>
          <w:p w14:paraId="0D3AECBF" w14:textId="62F5AC59" w:rsidR="00D72700" w:rsidRPr="0055731F" w:rsidRDefault="00D72700" w:rsidP="00447F0B">
            <w:pPr>
              <w:spacing w:line="340" w:lineRule="exact"/>
              <w:jc w:val="center"/>
              <w:rPr>
                <w:rFonts w:ascii="標楷體" w:eastAsia="標楷體" w:hAnsi="標楷體"/>
                <w:bCs/>
                <w:color w:val="000000" w:themeColor="text1"/>
                <w:sz w:val="22"/>
                <w:szCs w:val="22"/>
              </w:rPr>
            </w:pPr>
          </w:p>
        </w:tc>
        <w:tc>
          <w:tcPr>
            <w:tcW w:w="2771" w:type="pct"/>
            <w:vAlign w:val="center"/>
          </w:tcPr>
          <w:p w14:paraId="2899159C" w14:textId="5BABBE01" w:rsidR="00D72700" w:rsidRPr="0055731F" w:rsidRDefault="00D72700" w:rsidP="00447F0B">
            <w:pPr>
              <w:autoSpaceDE w:val="0"/>
              <w:autoSpaceDN w:val="0"/>
              <w:adjustRightInd w:val="0"/>
              <w:spacing w:line="340" w:lineRule="exact"/>
              <w:jc w:val="both"/>
              <w:rPr>
                <w:rFonts w:eastAsia="標楷體"/>
                <w:color w:val="000000" w:themeColor="text1"/>
                <w:kern w:val="0"/>
                <w:sz w:val="22"/>
                <w:szCs w:val="22"/>
              </w:rPr>
            </w:pPr>
            <w:r w:rsidRPr="0055731F">
              <w:rPr>
                <w:rFonts w:ascii="標楷體" w:eastAsia="標楷體" w:hAnsi="標楷體" w:cs="新細明體" w:hint="eastAsia"/>
                <w:b/>
                <w:color w:val="000000" w:themeColor="text1"/>
                <w:kern w:val="0"/>
                <w:sz w:val="22"/>
                <w:szCs w:val="22"/>
              </w:rPr>
              <w:t>司法及法制委員會歲出涉及</w:t>
            </w:r>
            <w:r w:rsidRPr="0055731F">
              <w:rPr>
                <w:rFonts w:ascii="標楷體" w:eastAsia="標楷體" w:hAnsi="標楷體" w:cs="新細明體"/>
                <w:b/>
                <w:color w:val="000000" w:themeColor="text1"/>
                <w:kern w:val="0"/>
                <w:sz w:val="22"/>
                <w:szCs w:val="22"/>
              </w:rPr>
              <w:t>臺灣高等法院</w:t>
            </w:r>
            <w:r w:rsidRPr="0055731F">
              <w:rPr>
                <w:rFonts w:ascii="標楷體" w:eastAsia="標楷體" w:hAnsi="標楷體" w:cs="新細明體" w:hint="eastAsia"/>
                <w:b/>
                <w:color w:val="000000" w:themeColor="text1"/>
                <w:kern w:val="0"/>
                <w:sz w:val="22"/>
                <w:szCs w:val="22"/>
              </w:rPr>
              <w:t>應辦部分：</w:t>
            </w:r>
          </w:p>
        </w:tc>
        <w:tc>
          <w:tcPr>
            <w:tcW w:w="1763" w:type="pct"/>
            <w:vAlign w:val="center"/>
          </w:tcPr>
          <w:p w14:paraId="629E9B8D" w14:textId="45E85DA1" w:rsidR="00D72700" w:rsidRPr="0055731F" w:rsidRDefault="00D72700" w:rsidP="00447F0B">
            <w:pPr>
              <w:pStyle w:val="a3"/>
              <w:ind w:left="0" w:firstLineChars="0" w:firstLine="0"/>
              <w:rPr>
                <w:color w:val="000000" w:themeColor="text1"/>
                <w:spacing w:val="-10"/>
              </w:rPr>
            </w:pPr>
          </w:p>
        </w:tc>
      </w:tr>
      <w:tr w:rsidR="00D72700" w:rsidRPr="0055731F" w14:paraId="58C65458" w14:textId="77777777" w:rsidTr="00D72700">
        <w:trPr>
          <w:trHeight w:val="567"/>
          <w:jc w:val="center"/>
        </w:trPr>
        <w:tc>
          <w:tcPr>
            <w:tcW w:w="466" w:type="pct"/>
          </w:tcPr>
          <w:p w14:paraId="02257615" w14:textId="7CF64656" w:rsidR="00D72700" w:rsidRPr="0055731F" w:rsidRDefault="00D72700" w:rsidP="00447F0B">
            <w:pPr>
              <w:spacing w:line="340" w:lineRule="exact"/>
              <w:jc w:val="center"/>
              <w:rPr>
                <w:rFonts w:ascii="標楷體" w:eastAsia="標楷體" w:hAnsi="標楷體"/>
                <w:bCs/>
                <w:color w:val="000000" w:themeColor="text1"/>
                <w:sz w:val="22"/>
                <w:szCs w:val="22"/>
              </w:rPr>
            </w:pPr>
            <w:r w:rsidRPr="0055731F">
              <w:rPr>
                <w:rFonts w:ascii="標楷體" w:eastAsia="標楷體" w:hAnsi="標楷體"/>
                <w:bCs/>
                <w:color w:val="000000" w:themeColor="text1"/>
                <w:sz w:val="22"/>
                <w:szCs w:val="22"/>
              </w:rPr>
              <w:t>(</w:t>
            </w:r>
            <w:r w:rsidRPr="0055731F">
              <w:rPr>
                <w:rFonts w:ascii="標楷體" w:eastAsia="標楷體" w:hAnsi="標楷體" w:hint="eastAsia"/>
                <w:bCs/>
                <w:color w:val="000000" w:themeColor="text1"/>
                <w:sz w:val="22"/>
                <w:szCs w:val="22"/>
              </w:rPr>
              <w:t>一)</w:t>
            </w:r>
          </w:p>
        </w:tc>
        <w:tc>
          <w:tcPr>
            <w:tcW w:w="2771" w:type="pct"/>
          </w:tcPr>
          <w:p w14:paraId="722FB30E" w14:textId="71A8A869" w:rsidR="00D72700" w:rsidRPr="0055731F" w:rsidRDefault="00D72700" w:rsidP="00447F0B">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對於司法院主管預算，行政院加註意見，其中有關車輛部分：「</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年度汰購公務汽車</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輛，包括首長專用車</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輛、小客車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輛、大客車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人座警備車</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輛、勘驗車</w:t>
            </w:r>
            <w:r w:rsidRPr="0055731F">
              <w:rPr>
                <w:rFonts w:eastAsia="標楷體" w:hint="eastAsia"/>
                <w:color w:val="000000" w:themeColor="text1"/>
                <w:kern w:val="0"/>
                <w:sz w:val="22"/>
                <w:szCs w:val="22"/>
              </w:rPr>
              <w:t>17</w:t>
            </w:r>
            <w:r w:rsidRPr="0055731F">
              <w:rPr>
                <w:rFonts w:eastAsia="標楷體" w:hint="eastAsia"/>
                <w:color w:val="000000" w:themeColor="text1"/>
                <w:kern w:val="0"/>
                <w:sz w:val="22"/>
                <w:szCs w:val="22"/>
              </w:rPr>
              <w:t>輛、執行車</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輛及觀護車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輛，計需</w:t>
            </w:r>
            <w:r w:rsidRPr="0055731F">
              <w:rPr>
                <w:rFonts w:eastAsia="標楷體" w:hint="eastAsia"/>
                <w:color w:val="000000" w:themeColor="text1"/>
                <w:kern w:val="0"/>
                <w:sz w:val="22"/>
                <w:szCs w:val="22"/>
              </w:rPr>
              <w:t>6,335</w:t>
            </w:r>
            <w:r w:rsidRPr="0055731F">
              <w:rPr>
                <w:rFonts w:eastAsia="標楷體" w:hint="eastAsia"/>
                <w:color w:val="000000" w:themeColor="text1"/>
                <w:kern w:val="0"/>
                <w:sz w:val="22"/>
                <w:szCs w:val="22"/>
              </w:rPr>
              <w:t>萬元，較法務部檢察機關</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年度汰購公務汽車</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輛，經費</w:t>
            </w:r>
            <w:r w:rsidRPr="0055731F">
              <w:rPr>
                <w:rFonts w:eastAsia="標楷體" w:hint="eastAsia"/>
                <w:color w:val="000000" w:themeColor="text1"/>
                <w:kern w:val="0"/>
                <w:sz w:val="22"/>
                <w:szCs w:val="22"/>
              </w:rPr>
              <w:t>4,864</w:t>
            </w:r>
            <w:r w:rsidRPr="0055731F">
              <w:rPr>
                <w:rFonts w:eastAsia="標楷體" w:hint="eastAsia"/>
                <w:color w:val="000000" w:themeColor="text1"/>
                <w:kern w:val="0"/>
                <w:sz w:val="22"/>
                <w:szCs w:val="22"/>
              </w:rPr>
              <w:t>萬元為高，雖司法院員額配置及業務屬性與法務部未盡相同，惟為兼顧中央政府各機關公務車輛汰購之衡平性，建請該院本撙節原則辦理公務車輛之汰換及新購。」。臺灣高等法院</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年汰換首長專用車</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輛、勘驗車</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輛，經查法務部檢察機關汰換原則為車齡</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年，未達</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年者累計行駛里程須超過</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萬公里。臺灣高等法院汰換</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輛，首長專用車車齡</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年、勘驗車均超過</w:t>
            </w:r>
            <w:r w:rsidRPr="0055731F">
              <w:rPr>
                <w:rFonts w:eastAsia="標楷體" w:hint="eastAsia"/>
                <w:color w:val="000000" w:themeColor="text1"/>
                <w:kern w:val="0"/>
                <w:sz w:val="22"/>
                <w:szCs w:val="22"/>
              </w:rPr>
              <w:t>19</w:t>
            </w:r>
            <w:r w:rsidRPr="0055731F">
              <w:rPr>
                <w:rFonts w:eastAsia="標楷體" w:hint="eastAsia"/>
                <w:color w:val="000000" w:themeColor="text1"/>
                <w:kern w:val="0"/>
                <w:sz w:val="22"/>
                <w:szCs w:val="22"/>
              </w:rPr>
              <w:t>年，請臺灣高等法院確實依實際業務需要本撙節原則辦理。</w:t>
            </w:r>
          </w:p>
        </w:tc>
        <w:tc>
          <w:tcPr>
            <w:tcW w:w="1763" w:type="pct"/>
          </w:tcPr>
          <w:p w14:paraId="18C5010F" w14:textId="1AB81B42" w:rsidR="00D72700" w:rsidRPr="0055731F" w:rsidRDefault="00D72700" w:rsidP="00447F0B">
            <w:pPr>
              <w:pStyle w:val="a3"/>
              <w:ind w:left="0" w:firstLineChars="0" w:firstLine="0"/>
              <w:rPr>
                <w:color w:val="000000" w:themeColor="text1"/>
                <w:spacing w:val="-10"/>
              </w:rPr>
            </w:pPr>
            <w:r>
              <w:rPr>
                <w:rFonts w:hint="eastAsia"/>
                <w:color w:val="000000" w:themeColor="text1"/>
              </w:rPr>
              <w:t>遵照辦理。</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707B57">
      <w:headerReference w:type="default" r:id="rId8"/>
      <w:footerReference w:type="even" r:id="rId9"/>
      <w:footerReference w:type="default" r:id="rId10"/>
      <w:pgSz w:w="11906" w:h="16838"/>
      <w:pgMar w:top="1134" w:right="567" w:bottom="902" w:left="851" w:header="851" w:footer="851"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C1E57" w14:textId="77777777" w:rsidR="00EE386A" w:rsidRDefault="00EE386A">
      <w:r>
        <w:separator/>
      </w:r>
    </w:p>
  </w:endnote>
  <w:endnote w:type="continuationSeparator" w:id="0">
    <w:p w14:paraId="1D17F134" w14:textId="77777777" w:rsidR="00EE386A" w:rsidRDefault="00EE38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1BA8" w14:textId="77777777" w:rsidR="001A579C" w:rsidRDefault="001A579C">
    <w:pPr>
      <w:pStyle w:val="a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361758" w14:textId="77777777" w:rsidR="00EE386A" w:rsidRDefault="00EE386A">
      <w:r>
        <w:separator/>
      </w:r>
    </w:p>
  </w:footnote>
  <w:footnote w:type="continuationSeparator" w:id="0">
    <w:p w14:paraId="2E8E8448" w14:textId="77777777" w:rsidR="00EE386A" w:rsidRDefault="00EE38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427C4433" w:rsidR="001A579C" w:rsidRDefault="0039147C">
    <w:pPr>
      <w:jc w:val="center"/>
      <w:rPr>
        <w:rFonts w:eastAsia="標楷體"/>
        <w:noProof/>
        <w:sz w:val="28"/>
        <w:szCs w:val="28"/>
      </w:rPr>
    </w:pPr>
    <w:r>
      <w:rPr>
        <w:rFonts w:eastAsia="標楷體" w:hint="eastAsia"/>
        <w:noProof/>
        <w:sz w:val="28"/>
        <w:szCs w:val="28"/>
      </w:rPr>
      <w:t>臺灣高等法院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113</w:t>
    </w:r>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147C"/>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3ADF"/>
    <w:rsid w:val="004D4161"/>
    <w:rsid w:val="004D4EC3"/>
    <w:rsid w:val="004D62BB"/>
    <w:rsid w:val="004E1D56"/>
    <w:rsid w:val="004E2BA3"/>
    <w:rsid w:val="004E3840"/>
    <w:rsid w:val="004E4C66"/>
    <w:rsid w:val="004E6BFA"/>
    <w:rsid w:val="004E7FA8"/>
    <w:rsid w:val="004F05F5"/>
    <w:rsid w:val="004F134A"/>
    <w:rsid w:val="004F2918"/>
    <w:rsid w:val="004F2A99"/>
    <w:rsid w:val="004F37B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72A"/>
    <w:rsid w:val="008016A6"/>
    <w:rsid w:val="0080400F"/>
    <w:rsid w:val="00804417"/>
    <w:rsid w:val="00804F45"/>
    <w:rsid w:val="00805CDA"/>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39F5"/>
    <w:rsid w:val="00CF3ECC"/>
    <w:rsid w:val="00CF3FE7"/>
    <w:rsid w:val="00CF4B3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86A"/>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3CE5F1-BDB1-4D9D-A2A6-1284540D3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6853</TotalTime>
  <Pages>17</Pages>
  <Words>2390</Words>
  <Characters>13625</Characters>
  <Application>Microsoft Office Word</Application>
  <DocSecurity>0</DocSecurity>
  <Lines>113</Lines>
  <Paragraphs>31</Paragraphs>
  <ScaleCrop>false</ScaleCrop>
  <Company>ksi</Company>
  <LinksUpToDate>false</LinksUpToDate>
  <CharactersWithSpaces>15984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1401</cp:revision>
  <cp:lastPrinted>2024-07-12T02:54:00Z</cp:lastPrinted>
  <dcterms:created xsi:type="dcterms:W3CDTF">2023-02-03T09:15:00Z</dcterms:created>
  <dcterms:modified xsi:type="dcterms:W3CDTF">2024-08-05T07:56:00Z</dcterms:modified>
</cp:coreProperties>
</file>